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DA5B0E"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BA1DDF">
        <w:rPr>
          <w:color w:val="A8D08D" w:themeColor="accent6" w:themeTint="99"/>
          <w:sz w:val="48"/>
          <w:szCs w:val="48"/>
        </w:rPr>
        <w:t>AGE Hydrogen Fuel Cell Technology</w:t>
      </w:r>
      <w:r w:rsidR="00BA1DDF" w:rsidRPr="00BA1DDF">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proofErr w:type="spellStart"/>
      <w:r w:rsidRPr="00E94B93">
        <w:rPr>
          <w:i/>
          <w:sz w:val="24"/>
          <w:szCs w:val="24"/>
        </w:rPr>
        <w:lastRenderedPageBreak/>
        <w:t>Alpheius</w:t>
      </w:r>
      <w:proofErr w:type="spellEnd"/>
      <w:r w:rsidRPr="00E94B93">
        <w:rPr>
          <w:i/>
          <w:sz w:val="24"/>
          <w:szCs w:val="24"/>
        </w:rPr>
        <w:t xml:space="preserve">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71160E" w:rsidP="0071160E">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FA696D"/>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C6C20"/>
    <w:rsid w:val="003E3A9B"/>
    <w:rsid w:val="005B0EF4"/>
    <w:rsid w:val="0071160E"/>
    <w:rsid w:val="007511CA"/>
    <w:rsid w:val="00752F87"/>
    <w:rsid w:val="007E37B8"/>
    <w:rsid w:val="008F142B"/>
    <w:rsid w:val="00981402"/>
    <w:rsid w:val="00BA1DDF"/>
    <w:rsid w:val="00C57582"/>
    <w:rsid w:val="00CE215B"/>
    <w:rsid w:val="00D31FF9"/>
    <w:rsid w:val="00E53D93"/>
    <w:rsid w:val="00ED2164"/>
    <w:rsid w:val="00FA69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2016-01-04T07:32:00Z</dcterms:created>
  <dcterms:modified xsi:type="dcterms:W3CDTF">2016-01-04T07:32:00Z</dcterms:modified>
</cp:coreProperties>
</file>